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E6B1" w14:textId="33C01E97" w:rsidR="00232212" w:rsidRPr="002E509E" w:rsidRDefault="00232212" w:rsidP="00C16A5A">
      <w:pPr>
        <w:pStyle w:val="NoSpacing"/>
        <w:jc w:val="center"/>
        <w:rPr>
          <w:rFonts w:ascii="Book Antiqua" w:hAnsi="Book Antiqua"/>
        </w:rPr>
      </w:pPr>
      <w:r w:rsidRPr="002E509E">
        <w:rPr>
          <w:rFonts w:ascii="Book Antiqua" w:hAnsi="Book Antiqua"/>
          <w:b/>
        </w:rPr>
        <w:t>Call for abstracts</w:t>
      </w:r>
      <w:r w:rsidRPr="002E509E">
        <w:rPr>
          <w:rFonts w:ascii="Book Antiqua" w:hAnsi="Book Antiqua"/>
        </w:rPr>
        <w:t xml:space="preserve"> for the 2nd Australasian Death Studies Network conference</w:t>
      </w:r>
    </w:p>
    <w:p w14:paraId="0098F1E4" w14:textId="77777777" w:rsidR="00232212" w:rsidRPr="002E509E" w:rsidRDefault="00232212" w:rsidP="00C16A5A">
      <w:pPr>
        <w:pStyle w:val="NoSpacing"/>
        <w:jc w:val="both"/>
        <w:rPr>
          <w:rFonts w:ascii="Book Antiqua" w:hAnsi="Book Antiqua"/>
        </w:rPr>
      </w:pPr>
    </w:p>
    <w:p w14:paraId="0684665D" w14:textId="5A78158C" w:rsidR="00232212" w:rsidRPr="002E509E" w:rsidRDefault="00232212" w:rsidP="00C16A5A">
      <w:pPr>
        <w:jc w:val="center"/>
        <w:rPr>
          <w:rFonts w:ascii="Book Antiqua" w:hAnsi="Book Antiqua" w:cs="Consolas"/>
          <w:b/>
          <w:i/>
          <w:color w:val="44546A" w:themeColor="text2"/>
          <w:sz w:val="32"/>
          <w:szCs w:val="32"/>
          <w:lang w:eastAsia="en-AU"/>
        </w:rPr>
      </w:pPr>
      <w:r w:rsidRPr="002E509E">
        <w:rPr>
          <w:rFonts w:ascii="Book Antiqua" w:hAnsi="Book Antiqua" w:cs="Consolas"/>
          <w:b/>
          <w:i/>
          <w:color w:val="44546A" w:themeColor="text2"/>
          <w:sz w:val="32"/>
          <w:szCs w:val="32"/>
          <w:lang w:eastAsia="en-AU"/>
        </w:rPr>
        <w:t>Death, Dying, and the Undead:</w:t>
      </w:r>
    </w:p>
    <w:p w14:paraId="2057A98C" w14:textId="4BDF7386" w:rsidR="00232212" w:rsidRPr="002E509E" w:rsidRDefault="00232212" w:rsidP="00C16A5A">
      <w:pPr>
        <w:jc w:val="center"/>
        <w:rPr>
          <w:rFonts w:ascii="Book Antiqua" w:hAnsi="Book Antiqua" w:cs="Consolas"/>
          <w:b/>
          <w:i/>
          <w:color w:val="44546A" w:themeColor="text2"/>
          <w:sz w:val="28"/>
          <w:szCs w:val="28"/>
          <w:lang w:eastAsia="en-AU"/>
        </w:rPr>
      </w:pPr>
      <w:r w:rsidRPr="002E509E">
        <w:rPr>
          <w:rFonts w:ascii="Book Antiqua" w:hAnsi="Book Antiqua" w:cs="Consolas"/>
          <w:b/>
          <w:i/>
          <w:color w:val="44546A" w:themeColor="text2"/>
          <w:sz w:val="32"/>
          <w:szCs w:val="32"/>
          <w:lang w:eastAsia="en-AU"/>
        </w:rPr>
        <w:t>Contemporary Approaches and Practices</w:t>
      </w:r>
    </w:p>
    <w:p w14:paraId="5E1021D4" w14:textId="565FC973" w:rsidR="00232212" w:rsidRPr="002E509E" w:rsidRDefault="00232212" w:rsidP="00C16A5A">
      <w:pPr>
        <w:jc w:val="center"/>
        <w:rPr>
          <w:rFonts w:ascii="Book Antiqua" w:hAnsi="Book Antiqua" w:cs="Consolas"/>
          <w:b/>
          <w:color w:val="000000" w:themeColor="text1"/>
          <w:sz w:val="22"/>
          <w:szCs w:val="22"/>
          <w:lang w:eastAsia="en-AU"/>
        </w:rPr>
      </w:pPr>
      <w:r w:rsidRPr="002E509E">
        <w:rPr>
          <w:rFonts w:ascii="Book Antiqua" w:hAnsi="Book Antiqua" w:cs="Consolas"/>
          <w:b/>
          <w:color w:val="000000" w:themeColor="text1"/>
          <w:sz w:val="22"/>
          <w:szCs w:val="22"/>
          <w:lang w:eastAsia="en-AU"/>
        </w:rPr>
        <w:t>2 September 2016, Noosa Queensland Australia</w:t>
      </w:r>
    </w:p>
    <w:p w14:paraId="2BEEA4E3" w14:textId="77777777" w:rsidR="00232212" w:rsidRPr="002E509E" w:rsidRDefault="00232212" w:rsidP="00C16A5A">
      <w:pPr>
        <w:jc w:val="both"/>
        <w:rPr>
          <w:rFonts w:ascii="Book Antiqua" w:hAnsi="Book Antiqua" w:cs="Consolas"/>
          <w:b/>
          <w:color w:val="000000" w:themeColor="text1"/>
          <w:sz w:val="22"/>
          <w:szCs w:val="22"/>
          <w:lang w:eastAsia="en-AU"/>
        </w:rPr>
      </w:pPr>
    </w:p>
    <w:p w14:paraId="7D38529B" w14:textId="77777777" w:rsidR="00232212" w:rsidRPr="002E509E" w:rsidRDefault="00232212" w:rsidP="00C16A5A">
      <w:pPr>
        <w:jc w:val="both"/>
        <w:rPr>
          <w:rFonts w:ascii="Book Antiqua" w:hAnsi="Book Antiqua" w:cs="Consolas"/>
          <w:color w:val="000000" w:themeColor="text1"/>
          <w:sz w:val="22"/>
          <w:szCs w:val="22"/>
          <w:lang w:eastAsia="en-AU"/>
        </w:rPr>
      </w:pPr>
      <w:r w:rsidRPr="002E509E">
        <w:rPr>
          <w:rFonts w:ascii="Book Antiqua" w:hAnsi="Book Antiqua" w:cs="Consolas"/>
          <w:color w:val="000000" w:themeColor="text1"/>
          <w:sz w:val="22"/>
          <w:szCs w:val="22"/>
          <w:lang w:eastAsia="en-AU"/>
        </w:rPr>
        <w:t xml:space="preserve">Despite being imaged all around us in popular culture and the media, death and dying are, it often seems, the last taboo subjects in modern society. </w:t>
      </w:r>
    </w:p>
    <w:p w14:paraId="74C602B6" w14:textId="77777777" w:rsidR="00232212" w:rsidRPr="002E509E" w:rsidRDefault="00232212" w:rsidP="00C16A5A">
      <w:pPr>
        <w:autoSpaceDE w:val="0"/>
        <w:autoSpaceDN w:val="0"/>
        <w:adjustRightInd w:val="0"/>
        <w:spacing w:line="120" w:lineRule="exact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6B62EA70" w14:textId="146C7D49" w:rsidR="00232212" w:rsidRPr="002E509E" w:rsidRDefault="00232212" w:rsidP="00C16A5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Following on from the successful multi-disciplinary conference held in 2015, this conference continues discussion and investigation in a range of cultural, humanities and social areas that consider death and dying, including creative arts, popular culture, health and community</w:t>
      </w:r>
      <w:r w:rsidR="00F97D6B"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planning. It will consider practices of, </w:t>
      </w: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processes around</w:t>
      </w:r>
      <w:r w:rsidR="00F97D6B" w:rsidRPr="002E509E">
        <w:rPr>
          <w:rFonts w:ascii="Book Antiqua" w:hAnsi="Book Antiqua" w:cs="Calibri"/>
          <w:color w:val="000000" w:themeColor="text1"/>
          <w:sz w:val="22"/>
          <w:szCs w:val="22"/>
        </w:rPr>
        <w:t>, and responses to</w:t>
      </w: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death and dying, and approaches to these topics including:</w:t>
      </w:r>
    </w:p>
    <w:p w14:paraId="4CC8C14C" w14:textId="77777777" w:rsidR="00232212" w:rsidRPr="002E509E" w:rsidRDefault="00232212" w:rsidP="00C16A5A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</w:p>
    <w:p w14:paraId="4CAC6F21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Representations of death, dying and the undead in popular culture </w:t>
      </w:r>
    </w:p>
    <w:p w14:paraId="0E301BC2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Gothic representations of the death, dying and the undead</w:t>
      </w:r>
    </w:p>
    <w:p w14:paraId="66A5A1FD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Death and dying in Australasian culture and history</w:t>
      </w:r>
    </w:p>
    <w:p w14:paraId="7B444FCE" w14:textId="43E56663" w:rsidR="00232212" w:rsidRPr="002E509E" w:rsidRDefault="008835B1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Writing and r</w:t>
      </w:r>
      <w:r w:rsidR="00232212" w:rsidRPr="002E509E">
        <w:rPr>
          <w:rFonts w:ascii="Book Antiqua" w:hAnsi="Book Antiqua" w:cs="Calibri"/>
          <w:color w:val="000000" w:themeColor="text1"/>
          <w:sz w:val="22"/>
          <w:szCs w:val="22"/>
        </w:rPr>
        <w:t>eading about death and dying</w:t>
      </w:r>
      <w:r w:rsidR="002E509E">
        <w:rPr>
          <w:rFonts w:ascii="Book Antiqua" w:hAnsi="Book Antiqua" w:cs="Calibri"/>
          <w:color w:val="000000" w:themeColor="text1"/>
          <w:sz w:val="22"/>
          <w:szCs w:val="22"/>
        </w:rPr>
        <w:t>, including</w:t>
      </w:r>
      <w:r w:rsidR="00232212"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="002E509E" w:rsidRPr="002E509E">
        <w:rPr>
          <w:rFonts w:ascii="Book Antiqua" w:hAnsi="Book Antiqua" w:cs="Calibri"/>
          <w:color w:val="000000" w:themeColor="text1"/>
          <w:sz w:val="22"/>
          <w:szCs w:val="22"/>
        </w:rPr>
        <w:t>auto/biography</w:t>
      </w:r>
    </w:p>
    <w:p w14:paraId="250E202B" w14:textId="00624A11" w:rsidR="008835B1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Representations and images of death and dying in visual art and the media</w:t>
      </w:r>
    </w:p>
    <w:p w14:paraId="2F0966D7" w14:textId="77777777" w:rsidR="002E509E" w:rsidRPr="002E509E" w:rsidRDefault="002E509E" w:rsidP="002E509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Aging and death and dying</w:t>
      </w:r>
    </w:p>
    <w:p w14:paraId="77C51168" w14:textId="3433F365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Death, dying </w:t>
      </w:r>
      <w:r w:rsidR="002E509E">
        <w:rPr>
          <w:rFonts w:ascii="Book Antiqua" w:hAnsi="Book Antiqua" w:cs="Calibri"/>
          <w:color w:val="000000" w:themeColor="text1"/>
          <w:sz w:val="22"/>
          <w:szCs w:val="22"/>
        </w:rPr>
        <w:t>and/or the undead</w:t>
      </w:r>
      <w:r w:rsidR="002E509E"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</w:t>
      </w: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and trauma</w:t>
      </w:r>
    </w:p>
    <w:p w14:paraId="020BF660" w14:textId="0053D068" w:rsidR="00520A32" w:rsidRPr="002E509E" w:rsidRDefault="002E509E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>Death, dying and/or the undead</w:t>
      </w:r>
      <w:r w:rsidR="00232212"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and gender</w:t>
      </w:r>
    </w:p>
    <w:p w14:paraId="003FA3A1" w14:textId="586C64E3" w:rsidR="00F97D6B" w:rsidRPr="002E509E" w:rsidRDefault="00520A3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Death</w:t>
      </w:r>
      <w:r w:rsidR="00F97D6B" w:rsidRPr="002E509E">
        <w:rPr>
          <w:rFonts w:ascii="Book Antiqua" w:hAnsi="Book Antiqua" w:cs="Calibri"/>
          <w:color w:val="000000" w:themeColor="text1"/>
          <w:sz w:val="22"/>
          <w:szCs w:val="22"/>
        </w:rPr>
        <w:t>, dying, the undead and social media</w:t>
      </w:r>
    </w:p>
    <w:p w14:paraId="695EAAD7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Roadside memorials, spontaneous shrines and other memorial practices</w:t>
      </w:r>
    </w:p>
    <w:p w14:paraId="6FCCEAA5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Celebrity death and public grieving</w:t>
      </w:r>
    </w:p>
    <w:p w14:paraId="2352B567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Transgression, death and crime fiction</w:t>
      </w:r>
    </w:p>
    <w:p w14:paraId="3705F4D4" w14:textId="1F166EA2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Teaching and learning about death</w:t>
      </w:r>
      <w:r w:rsidR="00F97D6B" w:rsidRPr="002E509E">
        <w:rPr>
          <w:rFonts w:ascii="Book Antiqua" w:hAnsi="Book Antiqua" w:cs="Calibri"/>
          <w:color w:val="000000" w:themeColor="text1"/>
          <w:sz w:val="22"/>
          <w:szCs w:val="22"/>
        </w:rPr>
        <w:t>, dying and the undead</w:t>
      </w:r>
    </w:p>
    <w:p w14:paraId="7A8E3CA2" w14:textId="36100180" w:rsidR="00232212" w:rsidRPr="002E509E" w:rsidRDefault="00F97D6B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I</w:t>
      </w:r>
      <w:r w:rsidR="008835B1" w:rsidRPr="002E509E">
        <w:rPr>
          <w:rFonts w:ascii="Book Antiqua" w:hAnsi="Book Antiqua" w:cs="Calibri"/>
          <w:color w:val="000000" w:themeColor="text1"/>
          <w:sz w:val="22"/>
          <w:szCs w:val="22"/>
        </w:rPr>
        <w:t>mmortality</w:t>
      </w: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 the ethics of not dying</w:t>
      </w:r>
    </w:p>
    <w:p w14:paraId="5AD950D6" w14:textId="77777777" w:rsidR="008835B1" w:rsidRPr="002E509E" w:rsidRDefault="008835B1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 xml:space="preserve">The ‘good death’ and what this means in policy and practice </w:t>
      </w:r>
    </w:p>
    <w:p w14:paraId="5DFEFD01" w14:textId="77777777" w:rsidR="008835B1" w:rsidRPr="002E509E" w:rsidRDefault="008835B1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Approaches to death and dying: at home, in hospital or elsewhere</w:t>
      </w:r>
    </w:p>
    <w:p w14:paraId="697F7C88" w14:textId="2DC45319" w:rsidR="008835B1" w:rsidRDefault="008835B1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The contemporary funeral and the multinational funeral industry</w:t>
      </w:r>
    </w:p>
    <w:p w14:paraId="480D2EB3" w14:textId="3CC56E08" w:rsidR="002E509E" w:rsidRPr="002E509E" w:rsidRDefault="002E509E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>
        <w:rPr>
          <w:rFonts w:ascii="Book Antiqua" w:hAnsi="Book Antiqua" w:cs="Calibri"/>
          <w:color w:val="000000" w:themeColor="text1"/>
          <w:sz w:val="22"/>
          <w:szCs w:val="22"/>
        </w:rPr>
        <w:t>Creativity and creative responses to death, dying and the undead</w:t>
      </w:r>
    </w:p>
    <w:p w14:paraId="3DB907F7" w14:textId="77777777" w:rsidR="00232212" w:rsidRPr="002E509E" w:rsidRDefault="00232212" w:rsidP="00C16A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r w:rsidRPr="002E509E">
        <w:rPr>
          <w:rFonts w:ascii="Book Antiqua" w:hAnsi="Book Antiqua" w:cs="Calibri"/>
          <w:color w:val="000000" w:themeColor="text1"/>
          <w:sz w:val="22"/>
          <w:szCs w:val="22"/>
        </w:rPr>
        <w:t>Other relevant topics and issues</w:t>
      </w:r>
    </w:p>
    <w:p w14:paraId="2F1487F4" w14:textId="46694956" w:rsidR="00F97D6B" w:rsidRPr="002E509E" w:rsidRDefault="00F97D6B" w:rsidP="00C16A5A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color w:val="000000" w:themeColor="text1"/>
          <w:sz w:val="22"/>
          <w:szCs w:val="22"/>
        </w:rPr>
        <w:t>Publication possibilities will be discussed at the conference</w:t>
      </w:r>
      <w:r w:rsidR="00E824C6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5AA6EEDE" w14:textId="502F5208" w:rsidR="00F97D6B" w:rsidRPr="002E509E" w:rsidRDefault="00F97D6B" w:rsidP="00C16A5A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color w:val="000000" w:themeColor="text1"/>
          <w:sz w:val="22"/>
          <w:szCs w:val="22"/>
        </w:rPr>
        <w:t>The conference will include a wine and cheese</w:t>
      </w:r>
      <w:r w:rsidR="002E509E">
        <w:rPr>
          <w:rFonts w:ascii="Book Antiqua" w:hAnsi="Book Antiqua"/>
          <w:color w:val="000000" w:themeColor="text1"/>
          <w:sz w:val="22"/>
          <w:szCs w:val="22"/>
        </w:rPr>
        <w:t xml:space="preserve"> finale and exhibition viewing</w:t>
      </w:r>
      <w:r w:rsidR="00E824C6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9416FC2" w14:textId="10DB9CE0" w:rsidR="00F97D6B" w:rsidRPr="002E509E" w:rsidRDefault="00232212" w:rsidP="00C16A5A">
      <w:pPr>
        <w:spacing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b/>
          <w:color w:val="000000" w:themeColor="text1"/>
          <w:sz w:val="22"/>
          <w:szCs w:val="22"/>
        </w:rPr>
        <w:t>Keynote Speaker</w:t>
      </w:r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A3D78" w:rsidRPr="002E509E">
        <w:rPr>
          <w:rFonts w:ascii="Book Antiqua" w:hAnsi="Book Antiqua"/>
          <w:color w:val="000000" w:themeColor="text1"/>
          <w:sz w:val="22"/>
          <w:szCs w:val="22"/>
        </w:rPr>
        <w:t>TB</w:t>
      </w:r>
      <w:r w:rsidR="00077163" w:rsidRPr="002E509E">
        <w:rPr>
          <w:rFonts w:ascii="Book Antiqua" w:hAnsi="Book Antiqua"/>
          <w:color w:val="000000" w:themeColor="text1"/>
          <w:sz w:val="22"/>
          <w:szCs w:val="22"/>
        </w:rPr>
        <w:t>C</w:t>
      </w:r>
    </w:p>
    <w:p w14:paraId="2DAAA889" w14:textId="77777777" w:rsidR="00C16A5A" w:rsidRDefault="00232212" w:rsidP="00C1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91"/>
        <w:jc w:val="both"/>
        <w:rPr>
          <w:rStyle w:val="Hyperlink"/>
          <w:rFonts w:ascii="Book Antiqua" w:hAnsi="Book Antiqua"/>
          <w:b/>
          <w:color w:val="000000" w:themeColor="text1"/>
          <w:sz w:val="22"/>
          <w:szCs w:val="22"/>
          <w:u w:val="none"/>
        </w:rPr>
      </w:pPr>
      <w:r w:rsidRPr="00C16A5A">
        <w:rPr>
          <w:rFonts w:ascii="Book Antiqua" w:hAnsi="Book Antiqua"/>
          <w:b/>
          <w:color w:val="000000" w:themeColor="text1"/>
          <w:sz w:val="22"/>
          <w:szCs w:val="22"/>
        </w:rPr>
        <w:t>Abstracts</w:t>
      </w:r>
      <w:r w:rsidRPr="00F97D6B">
        <w:rPr>
          <w:rFonts w:ascii="Book Antiqua" w:hAnsi="Book Antiqua"/>
          <w:color w:val="000000" w:themeColor="text1"/>
          <w:sz w:val="22"/>
          <w:szCs w:val="22"/>
        </w:rPr>
        <w:t xml:space="preserve"> (200 words</w:t>
      </w:r>
      <w:r w:rsidR="00F97D6B" w:rsidRPr="00F97D6B">
        <w:rPr>
          <w:rFonts w:ascii="Book Antiqua" w:hAnsi="Book Antiqua"/>
          <w:color w:val="000000" w:themeColor="text1"/>
          <w:sz w:val="22"/>
          <w:szCs w:val="22"/>
        </w:rPr>
        <w:t xml:space="preserve"> max) plus</w:t>
      </w:r>
      <w:r w:rsidR="00F97D6B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="00C16A5A">
        <w:rPr>
          <w:rFonts w:ascii="Book Antiqua" w:hAnsi="Book Antiqua"/>
          <w:color w:val="000000" w:themeColor="text1"/>
          <w:sz w:val="22"/>
          <w:szCs w:val="22"/>
        </w:rPr>
        <w:t xml:space="preserve">include your name, email &amp; </w:t>
      </w:r>
      <w:r w:rsidRPr="00F97D6B">
        <w:rPr>
          <w:rFonts w:ascii="Book Antiqua" w:hAnsi="Book Antiqua"/>
          <w:color w:val="000000" w:themeColor="text1"/>
          <w:sz w:val="22"/>
          <w:szCs w:val="22"/>
        </w:rPr>
        <w:t>brief bio note (50-100 words)</w:t>
      </w:r>
      <w:r w:rsidRPr="00F97D6B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F97D6B">
        <w:rPr>
          <w:rFonts w:ascii="Book Antiqua" w:hAnsi="Book Antiqua"/>
          <w:color w:val="000000" w:themeColor="text1"/>
          <w:sz w:val="22"/>
          <w:szCs w:val="22"/>
        </w:rPr>
        <w:t xml:space="preserve">due 1 </w:t>
      </w:r>
      <w:r w:rsidR="008835B1" w:rsidRPr="00F97D6B">
        <w:rPr>
          <w:rFonts w:ascii="Book Antiqua" w:hAnsi="Book Antiqua"/>
          <w:color w:val="000000" w:themeColor="text1"/>
          <w:sz w:val="22"/>
          <w:szCs w:val="22"/>
        </w:rPr>
        <w:t>June 2016</w:t>
      </w:r>
      <w:r w:rsidRPr="00F97D6B">
        <w:rPr>
          <w:rFonts w:ascii="Book Antiqua" w:hAnsi="Book Antiqua"/>
          <w:color w:val="000000" w:themeColor="text1"/>
          <w:sz w:val="22"/>
          <w:szCs w:val="22"/>
        </w:rPr>
        <w:t xml:space="preserve">, email to Zoe Allen </w:t>
      </w:r>
      <w:hyperlink r:id="rId7" w:history="1">
        <w:r w:rsidR="00C16A5A" w:rsidRPr="00657242">
          <w:rPr>
            <w:rStyle w:val="Hyperlink"/>
            <w:rFonts w:ascii="Book Antiqua" w:hAnsi="Book Antiqua"/>
            <w:sz w:val="22"/>
            <w:szCs w:val="22"/>
          </w:rPr>
          <w:t>z.allen@cqu.edu.au</w:t>
        </w:r>
      </w:hyperlink>
    </w:p>
    <w:p w14:paraId="7F88E8E2" w14:textId="0710609F" w:rsidR="00232212" w:rsidRPr="00C16A5A" w:rsidRDefault="00C16A5A" w:rsidP="00C1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91"/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* p</w:t>
      </w:r>
      <w:r w:rsidR="00232212" w:rsidRPr="00F97D6B">
        <w:rPr>
          <w:rFonts w:ascii="Book Antiqua" w:hAnsi="Book Antiqua"/>
          <w:color w:val="000000" w:themeColor="text1"/>
          <w:sz w:val="22"/>
          <w:szCs w:val="22"/>
        </w:rPr>
        <w:t>lease put ‘</w:t>
      </w:r>
      <w:r w:rsidR="009A3D78" w:rsidRPr="00F97D6B">
        <w:rPr>
          <w:rFonts w:ascii="Book Antiqua" w:hAnsi="Book Antiqua"/>
          <w:color w:val="000000" w:themeColor="text1"/>
          <w:sz w:val="22"/>
          <w:szCs w:val="22"/>
        </w:rPr>
        <w:t xml:space="preserve">2016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Death, Dying and </w:t>
      </w:r>
      <w:r w:rsidR="00232212" w:rsidRPr="00F97D6B">
        <w:rPr>
          <w:rFonts w:ascii="Book Antiqua" w:hAnsi="Book Antiqua"/>
          <w:color w:val="000000" w:themeColor="text1"/>
          <w:sz w:val="22"/>
          <w:szCs w:val="22"/>
        </w:rPr>
        <w:t xml:space="preserve">Undead abstract submission’ in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email </w:t>
      </w:r>
      <w:r w:rsidR="00232212" w:rsidRPr="00F97D6B">
        <w:rPr>
          <w:rFonts w:ascii="Book Antiqua" w:hAnsi="Book Antiqua"/>
          <w:color w:val="000000" w:themeColor="text1"/>
          <w:sz w:val="22"/>
          <w:szCs w:val="22"/>
        </w:rPr>
        <w:t xml:space="preserve">subject line </w:t>
      </w:r>
    </w:p>
    <w:p w14:paraId="1A5766DE" w14:textId="77777777" w:rsidR="00C16A5A" w:rsidRDefault="00C16A5A" w:rsidP="00C16A5A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425B2268" w14:textId="4F1B8E3E" w:rsidR="00232212" w:rsidRPr="002E509E" w:rsidRDefault="00F97D6B" w:rsidP="00C16A5A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b/>
          <w:color w:val="000000" w:themeColor="text1"/>
          <w:sz w:val="22"/>
          <w:szCs w:val="22"/>
        </w:rPr>
        <w:t xml:space="preserve">Conference </w:t>
      </w:r>
      <w:r w:rsidR="00232212" w:rsidRPr="002E509E">
        <w:rPr>
          <w:rFonts w:ascii="Book Antiqua" w:hAnsi="Book Antiqua"/>
          <w:b/>
          <w:color w:val="000000" w:themeColor="text1"/>
          <w:sz w:val="22"/>
          <w:szCs w:val="22"/>
        </w:rPr>
        <w:t>Location</w:t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proofErr w:type="spellStart"/>
      <w:r w:rsidR="00232212" w:rsidRPr="002E509E">
        <w:rPr>
          <w:rFonts w:ascii="Book Antiqua" w:hAnsi="Book Antiqua"/>
          <w:color w:val="000000" w:themeColor="text1"/>
          <w:sz w:val="22"/>
          <w:szCs w:val="22"/>
        </w:rPr>
        <w:t>CQUniversity</w:t>
      </w:r>
      <w:proofErr w:type="spellEnd"/>
      <w:r w:rsidR="00232212" w:rsidRPr="002E509E">
        <w:rPr>
          <w:rFonts w:ascii="Book Antiqua" w:hAnsi="Book Antiqua"/>
          <w:color w:val="000000" w:themeColor="text1"/>
          <w:sz w:val="22"/>
          <w:szCs w:val="22"/>
        </w:rPr>
        <w:t>, Noosa campus</w:t>
      </w:r>
    </w:p>
    <w:p w14:paraId="3D43D6CF" w14:textId="77777777" w:rsidR="00232212" w:rsidRPr="002E509E" w:rsidRDefault="00232212" w:rsidP="00C16A5A">
      <w:pPr>
        <w:spacing w:after="12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  <w:t xml:space="preserve">90 </w:t>
      </w:r>
      <w:proofErr w:type="spellStart"/>
      <w:r w:rsidRPr="002E509E">
        <w:rPr>
          <w:rFonts w:ascii="Book Antiqua" w:hAnsi="Book Antiqua"/>
          <w:color w:val="000000" w:themeColor="text1"/>
          <w:sz w:val="22"/>
          <w:szCs w:val="22"/>
        </w:rPr>
        <w:t>Goodchap</w:t>
      </w:r>
      <w:proofErr w:type="spellEnd"/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 Street, </w:t>
      </w:r>
      <w:proofErr w:type="spellStart"/>
      <w:r w:rsidRPr="002E509E">
        <w:rPr>
          <w:rFonts w:ascii="Book Antiqua" w:hAnsi="Book Antiqua"/>
          <w:color w:val="000000" w:themeColor="text1"/>
          <w:sz w:val="22"/>
          <w:szCs w:val="22"/>
        </w:rPr>
        <w:t>Noosaville</w:t>
      </w:r>
      <w:proofErr w:type="spellEnd"/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proofErr w:type="spellStart"/>
      <w:r w:rsidRPr="002E509E">
        <w:rPr>
          <w:rFonts w:ascii="Book Antiqua" w:hAnsi="Book Antiqua"/>
          <w:color w:val="000000" w:themeColor="text1"/>
          <w:sz w:val="22"/>
          <w:szCs w:val="22"/>
        </w:rPr>
        <w:t>Qld</w:t>
      </w:r>
      <w:proofErr w:type="spellEnd"/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 4566</w:t>
      </w:r>
    </w:p>
    <w:p w14:paraId="6E9493AB" w14:textId="77777777" w:rsidR="00232212" w:rsidRPr="002E509E" w:rsidRDefault="00232212" w:rsidP="00C16A5A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E509E">
        <w:rPr>
          <w:rFonts w:ascii="Book Antiqua" w:hAnsi="Book Antiqua"/>
          <w:b/>
          <w:color w:val="000000" w:themeColor="text1"/>
          <w:sz w:val="22"/>
          <w:szCs w:val="22"/>
        </w:rPr>
        <w:t>Contact/</w:t>
      </w:r>
      <w:proofErr w:type="gramStart"/>
      <w:r w:rsidRPr="002E509E">
        <w:rPr>
          <w:rFonts w:ascii="Book Antiqua" w:hAnsi="Book Antiqua"/>
          <w:b/>
          <w:color w:val="000000" w:themeColor="text1"/>
          <w:sz w:val="22"/>
          <w:szCs w:val="22"/>
        </w:rPr>
        <w:t>queries</w:t>
      </w:r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  </w:t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proofErr w:type="gramEnd"/>
      <w:r w:rsidRPr="002E509E">
        <w:rPr>
          <w:rFonts w:ascii="Book Antiqua" w:hAnsi="Book Antiqua"/>
          <w:color w:val="000000" w:themeColor="text1"/>
          <w:sz w:val="22"/>
          <w:szCs w:val="22"/>
        </w:rPr>
        <w:t>Professor Donna Lee Brien</w:t>
      </w:r>
    </w:p>
    <w:p w14:paraId="30C1FF26" w14:textId="71A314AF" w:rsidR="00F97D6B" w:rsidRPr="002E509E" w:rsidRDefault="00232212" w:rsidP="00C16A5A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r w:rsidRPr="002E509E">
        <w:rPr>
          <w:rFonts w:ascii="Book Antiqua" w:hAnsi="Book Antiqua"/>
          <w:color w:val="000000" w:themeColor="text1"/>
          <w:sz w:val="22"/>
          <w:szCs w:val="22"/>
        </w:rPr>
        <w:tab/>
      </w:r>
      <w:proofErr w:type="spellStart"/>
      <w:r w:rsidRPr="002E509E">
        <w:rPr>
          <w:rFonts w:ascii="Book Antiqua" w:hAnsi="Book Antiqua"/>
          <w:color w:val="000000" w:themeColor="text1"/>
          <w:sz w:val="22"/>
          <w:szCs w:val="22"/>
        </w:rPr>
        <w:t>CQUniversity</w:t>
      </w:r>
      <w:proofErr w:type="spellEnd"/>
      <w:r w:rsidRPr="002E509E">
        <w:rPr>
          <w:rFonts w:ascii="Book Antiqua" w:hAnsi="Book Antiqua"/>
          <w:color w:val="000000" w:themeColor="text1"/>
          <w:sz w:val="22"/>
          <w:szCs w:val="22"/>
        </w:rPr>
        <w:t xml:space="preserve">, Noosa campus </w:t>
      </w:r>
      <w:hyperlink r:id="rId8" w:history="1">
        <w:r w:rsidR="00F97D6B" w:rsidRPr="002E509E">
          <w:rPr>
            <w:rStyle w:val="Hyperlink"/>
            <w:rFonts w:ascii="Book Antiqua" w:hAnsi="Book Antiqua"/>
            <w:sz w:val="22"/>
            <w:szCs w:val="22"/>
          </w:rPr>
          <w:t>d.brien@cqu.edu.au</w:t>
        </w:r>
      </w:hyperlink>
    </w:p>
    <w:p w14:paraId="1BCF9351" w14:textId="4157555A" w:rsidR="00C16A5A" w:rsidRPr="002E509E" w:rsidRDefault="002E509E" w:rsidP="00C16A5A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Website: </w:t>
      </w:r>
      <w:r w:rsidR="00C16A5A" w:rsidRPr="002E509E">
        <w:rPr>
          <w:rFonts w:ascii="Book Antiqua" w:hAnsi="Book Antiqua"/>
          <w:sz w:val="22"/>
          <w:szCs w:val="22"/>
        </w:rPr>
        <w:t xml:space="preserve">Australasian Death Studies Network: </w:t>
      </w:r>
      <w:hyperlink r:id="rId9" w:history="1">
        <w:r w:rsidRPr="002E509E">
          <w:rPr>
            <w:rStyle w:val="Hyperlink"/>
            <w:rFonts w:ascii="Book Antiqua" w:hAnsi="Book Antiqua"/>
            <w:sz w:val="22"/>
            <w:szCs w:val="22"/>
          </w:rPr>
          <w:t>www.adsnetwork.org</w:t>
        </w:r>
      </w:hyperlink>
      <w:r w:rsidR="005933FA">
        <w:rPr>
          <w:rStyle w:val="Hyperlink"/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sectPr w:rsidR="00C16A5A" w:rsidRPr="002E509E" w:rsidSect="00C16A5A">
      <w:headerReference w:type="default" r:id="rId10"/>
      <w:footerReference w:type="default" r:id="rId11"/>
      <w:pgSz w:w="11900" w:h="16840"/>
      <w:pgMar w:top="1134" w:right="1701" w:bottom="2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3BB97" w14:textId="77777777" w:rsidR="00042A61" w:rsidRDefault="00042A61">
      <w:r>
        <w:separator/>
      </w:r>
    </w:p>
  </w:endnote>
  <w:endnote w:type="continuationSeparator" w:id="0">
    <w:p w14:paraId="5DCC2E24" w14:textId="77777777" w:rsidR="00042A61" w:rsidRDefault="000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restige Elite Std Bold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A0725" w14:textId="77777777" w:rsidR="0011525D" w:rsidRDefault="009A3D78" w:rsidP="00E65510">
    <w:pPr>
      <w:pStyle w:val="Footer"/>
      <w:rPr>
        <w:rStyle w:val="Hyperlink"/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 </w:t>
    </w:r>
    <w:r>
      <w:rPr>
        <w:rFonts w:ascii="Book Antiqua" w:hAnsi="Book Antiqua"/>
        <w:sz w:val="22"/>
        <w:szCs w:val="22"/>
      </w:rPr>
      <w:tab/>
      <w:t xml:space="preserve"> </w:t>
    </w:r>
  </w:p>
  <w:p w14:paraId="34E0E1AC" w14:textId="77777777" w:rsidR="0011525D" w:rsidRDefault="009A3D78" w:rsidP="00E655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Convened by </w:t>
    </w:r>
    <w:proofErr w:type="spellStart"/>
    <w:r>
      <w:rPr>
        <w:sz w:val="16"/>
        <w:szCs w:val="16"/>
      </w:rPr>
      <w:t>CQUniversity</w:t>
    </w:r>
    <w:proofErr w:type="spellEnd"/>
    <w:r>
      <w:rPr>
        <w:sz w:val="16"/>
        <w:szCs w:val="16"/>
      </w:rPr>
      <w:t>, Noosa</w:t>
    </w:r>
    <w:r w:rsidRPr="00537664">
      <w:rPr>
        <w:sz w:val="16"/>
        <w:szCs w:val="16"/>
      </w:rPr>
      <w:t>, in association with the Popular Culture Research Centre, AUT</w:t>
    </w:r>
  </w:p>
  <w:p w14:paraId="323E450C" w14:textId="77777777" w:rsidR="0011525D" w:rsidRPr="00537664" w:rsidRDefault="009A3D78" w:rsidP="00E655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Supported by the School of Education and the Arts, </w:t>
    </w:r>
    <w:proofErr w:type="spellStart"/>
    <w:r>
      <w:rPr>
        <w:sz w:val="16"/>
        <w:szCs w:val="16"/>
      </w:rPr>
      <w:t>CQUniversity</w:t>
    </w:r>
    <w:proofErr w:type="spellEnd"/>
    <w:r>
      <w:rPr>
        <w:sz w:val="16"/>
        <w:szCs w:val="16"/>
      </w:rPr>
      <w:t>, Australia</w:t>
    </w:r>
  </w:p>
  <w:p w14:paraId="19EBB4BA" w14:textId="77777777" w:rsidR="0011525D" w:rsidRPr="00537664" w:rsidRDefault="00042A61" w:rsidP="001121E4">
    <w:pPr>
      <w:pStyle w:val="Footer"/>
      <w:jc w:val="right"/>
      <w:rPr>
        <w:sz w:val="16"/>
        <w:szCs w:val="16"/>
      </w:rPr>
    </w:pPr>
  </w:p>
  <w:p w14:paraId="02811579" w14:textId="77777777" w:rsidR="0011525D" w:rsidRDefault="00042A61" w:rsidP="001121E4">
    <w:pPr>
      <w:pStyle w:val="Footer"/>
      <w:jc w:val="right"/>
      <w:rPr>
        <w:sz w:val="18"/>
        <w:szCs w:val="18"/>
      </w:rPr>
    </w:pPr>
  </w:p>
  <w:p w14:paraId="2D216487" w14:textId="77777777" w:rsidR="0011525D" w:rsidRDefault="00042A61" w:rsidP="001121E4">
    <w:pPr>
      <w:pStyle w:val="Footer"/>
      <w:jc w:val="right"/>
      <w:rPr>
        <w:sz w:val="18"/>
        <w:szCs w:val="18"/>
      </w:rPr>
    </w:pPr>
  </w:p>
  <w:p w14:paraId="751A50E8" w14:textId="77777777" w:rsidR="0011525D" w:rsidRPr="001121E4" w:rsidRDefault="00042A61" w:rsidP="001121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097E" w14:textId="77777777" w:rsidR="00042A61" w:rsidRDefault="00042A61">
      <w:r>
        <w:separator/>
      </w:r>
    </w:p>
  </w:footnote>
  <w:footnote w:type="continuationSeparator" w:id="0">
    <w:p w14:paraId="69E28735" w14:textId="77777777" w:rsidR="00042A61" w:rsidRDefault="0004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BD8A" w14:textId="6624F0E3" w:rsidR="0011525D" w:rsidRDefault="00F97D6B" w:rsidP="00211FC9">
    <w:pPr>
      <w:pStyle w:val="Header"/>
      <w:jc w:val="right"/>
      <w:rPr>
        <w:rFonts w:ascii="Prestige Elite Std Bold" w:hAnsi="Prestige Elite Std Bold"/>
        <w:b/>
        <w:color w:val="44546A" w:themeColor="text2"/>
        <w:sz w:val="36"/>
        <w:szCs w:val="36"/>
      </w:rPr>
    </w:pPr>
    <w:r w:rsidRPr="00E17F11">
      <w:rPr>
        <w:noProof/>
      </w:rPr>
      <w:drawing>
        <wp:inline distT="0" distB="0" distL="0" distR="0" wp14:anchorId="1E00885C" wp14:editId="4ACAEE4E">
          <wp:extent cx="2541270" cy="723265"/>
          <wp:effectExtent l="0" t="0" r="0" b="0"/>
          <wp:docPr id="1" name="Picture 1" descr="Description: Macintosh HD:Users:briend:Documents:WORKS IN PROGRESS :2015 Death Dying Undead Conference:ADSN images:ADSN_blk_spelt_out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briend:Documents:WORKS IN PROGRESS :2015 Death Dying Undead Conference:ADSN images:ADSN_blk_spelt_out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85B34" w14:textId="417B0456" w:rsidR="0011525D" w:rsidRPr="00211FC9" w:rsidRDefault="00042A61" w:rsidP="00211FC9">
    <w:pPr>
      <w:pStyle w:val="Header"/>
      <w:jc w:val="right"/>
      <w:rPr>
        <w:rFonts w:ascii="Braggadocio" w:hAnsi="Braggadocio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D5ACE"/>
    <w:multiLevelType w:val="hybridMultilevel"/>
    <w:tmpl w:val="C33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2"/>
    <w:rsid w:val="00042A61"/>
    <w:rsid w:val="00077163"/>
    <w:rsid w:val="000C1A13"/>
    <w:rsid w:val="00232212"/>
    <w:rsid w:val="002E509E"/>
    <w:rsid w:val="00306679"/>
    <w:rsid w:val="00352C5D"/>
    <w:rsid w:val="00520A32"/>
    <w:rsid w:val="005756F0"/>
    <w:rsid w:val="005933FA"/>
    <w:rsid w:val="008835B1"/>
    <w:rsid w:val="009034A5"/>
    <w:rsid w:val="009A3D78"/>
    <w:rsid w:val="00C16A5A"/>
    <w:rsid w:val="00C224C1"/>
    <w:rsid w:val="00C43A9A"/>
    <w:rsid w:val="00E824C6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43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1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1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2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12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32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2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2212"/>
    <w:rPr>
      <w:rFonts w:ascii="Cambria" w:eastAsia="MS Mincho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9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.allen@cqu.edu.au" TargetMode="External"/><Relationship Id="rId8" Type="http://schemas.openxmlformats.org/officeDocument/2006/relationships/hyperlink" Target="mailto:d.brien@cqu.edu.au" TargetMode="External"/><Relationship Id="rId9" Type="http://schemas.openxmlformats.org/officeDocument/2006/relationships/hyperlink" Target="http://www.adsnetwork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2016-03-16T06:27:00Z</dcterms:created>
  <dcterms:modified xsi:type="dcterms:W3CDTF">2016-03-31T01:56:00Z</dcterms:modified>
</cp:coreProperties>
</file>